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296" w:rsidRPr="009E2296" w:rsidRDefault="009E2296" w:rsidP="009E229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outline/>
          <w:color w:val="000000"/>
          <w:sz w:val="96"/>
          <w:szCs w:val="96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 w:rsidRPr="009E2296">
        <w:rPr>
          <w:rFonts w:ascii="Times New Roman" w:eastAsia="Times New Roman" w:hAnsi="Times New Roman" w:cs="Times New Roman"/>
          <w:b/>
          <w:outline/>
          <w:color w:val="000000"/>
          <w:sz w:val="96"/>
          <w:szCs w:val="96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ВЕСТНИК №</w:t>
      </w:r>
      <w:r w:rsidR="00F40433">
        <w:rPr>
          <w:rFonts w:ascii="Times New Roman" w:eastAsia="Times New Roman" w:hAnsi="Times New Roman" w:cs="Times New Roman"/>
          <w:b/>
          <w:outline/>
          <w:color w:val="000000"/>
          <w:sz w:val="96"/>
          <w:szCs w:val="96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2</w:t>
      </w:r>
      <w:r w:rsidRPr="009E2296">
        <w:rPr>
          <w:rFonts w:ascii="Times New Roman" w:eastAsia="Times New Roman" w:hAnsi="Times New Roman" w:cs="Times New Roman"/>
          <w:b/>
          <w:outline/>
          <w:color w:val="000000"/>
          <w:sz w:val="96"/>
          <w:szCs w:val="96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/</w:t>
      </w:r>
      <w:r w:rsidR="00F40433">
        <w:rPr>
          <w:rFonts w:ascii="Times New Roman" w:eastAsia="Times New Roman" w:hAnsi="Times New Roman" w:cs="Times New Roman"/>
          <w:b/>
          <w:outline/>
          <w:color w:val="000000"/>
          <w:sz w:val="96"/>
          <w:szCs w:val="96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3</w:t>
      </w:r>
    </w:p>
    <w:p w:rsidR="009E2296" w:rsidRPr="009E2296" w:rsidRDefault="009E2296" w:rsidP="009E229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Издатель- Администрация </w:t>
      </w:r>
      <w:proofErr w:type="spellStart"/>
      <w:r w:rsidRPr="009E2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Чингисского</w:t>
      </w:r>
      <w:proofErr w:type="spellEnd"/>
      <w:r w:rsidRPr="009E2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AB79BE" w:rsidRPr="00F40433" w:rsidRDefault="009E2296" w:rsidP="00F40433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E2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 </w:t>
      </w:r>
      <w:r w:rsidR="00F404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Pr="00AB7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 w:rsidR="00EA3E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AB7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 w:rsidR="00740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AB7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9E2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proofErr w:type="gramEnd"/>
      <w:r w:rsidR="00F475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43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2023 году на территории Новосибирской области проведут комплексные кадастровые работы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2023 году на территории Новосибирской области планируется проведение комплексных кадастровых работ за счет средств федерального бюджета. Заявка на получение субсидии рассмотрена и одобрена Федеральной службой государственной регистрации, кадастра и картографии. Для проведения кадастровых работ субъекту будет выделено 7,1 млн рублей из федерального бюджета.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«В результате проведения комплексных кадастровых работ будут образованы новые земельные участки, уточнены местоположения границ земельных участков и расположенных на них зданий, сооружений, объектов незавершенного строительства, а также исправлены реестровые ошибки в сведениях о таких объектах», - сообщила заместитель руководителя Наталья </w:t>
      </w:r>
      <w:proofErr w:type="spellStart"/>
      <w:r w:rsidRPr="00F40433">
        <w:rPr>
          <w:rFonts w:ascii="Segoe UI" w:hAnsi="Segoe UI" w:cs="Segoe UI"/>
          <w:sz w:val="28"/>
          <w:szCs w:val="28"/>
        </w:rPr>
        <w:t>Ивчатова</w:t>
      </w:r>
      <w:proofErr w:type="spellEnd"/>
      <w:r w:rsidRPr="00F40433">
        <w:rPr>
          <w:rFonts w:ascii="Segoe UI" w:hAnsi="Segoe UI" w:cs="Segoe UI"/>
          <w:sz w:val="28"/>
          <w:szCs w:val="28"/>
        </w:rPr>
        <w:t>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Преимущество комплексных кадастровых работ состоит в том, что они значительно дешевле работ, которые выполняются в индивидуальном заявительном порядке. Собственникам земельных участков, в отношении которых проводятся комплексные кадастровые работы, не нужно платить за межевание и обращаться в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для внесения сведений в Единый государственный реестр недвижимости.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«Проведение комплексных кадастровых работ позволит уточнить границы земельных участков, исправить имеющиеся в реестре ошибки, уточнить границы объектов на земельных участках, а также образовать земли, занимаемые улицами, проездами, набережными и скверами, - говорит заместитель руководителя департамента имущества и земельных отношений Новосибирской области Павел Комаров. - Комплексные кадастровые работы дают возможность эффективного управления территориями.»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lastRenderedPageBreak/>
        <w:t xml:space="preserve">В настоящее время уже проводятся работы на территории </w:t>
      </w:r>
      <w:proofErr w:type="spellStart"/>
      <w:r w:rsidRPr="00F40433">
        <w:rPr>
          <w:rFonts w:ascii="Segoe UI" w:hAnsi="Segoe UI" w:cs="Segoe UI"/>
          <w:sz w:val="28"/>
          <w:szCs w:val="28"/>
        </w:rPr>
        <w:t>Сузунского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Маслянинского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Тогучинского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Ордынского, </w:t>
      </w:r>
      <w:proofErr w:type="spellStart"/>
      <w:r w:rsidRPr="00F40433">
        <w:rPr>
          <w:rFonts w:ascii="Segoe UI" w:hAnsi="Segoe UI" w:cs="Segoe UI"/>
          <w:sz w:val="28"/>
          <w:szCs w:val="28"/>
        </w:rPr>
        <w:t>Здвинского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Краснозерского районов Новосибирской области, в планах региона – земли </w:t>
      </w:r>
      <w:proofErr w:type="spellStart"/>
      <w:r w:rsidRPr="00F40433">
        <w:rPr>
          <w:rFonts w:ascii="Segoe UI" w:hAnsi="Segoe UI" w:cs="Segoe UI"/>
          <w:sz w:val="28"/>
          <w:szCs w:val="28"/>
        </w:rPr>
        <w:t>Искитимского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Мошковского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Коченевского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Барабинского</w:t>
      </w:r>
      <w:proofErr w:type="spellEnd"/>
      <w:r w:rsidRPr="00F40433">
        <w:rPr>
          <w:rFonts w:ascii="Segoe UI" w:hAnsi="Segoe UI" w:cs="Segoe UI"/>
          <w:sz w:val="28"/>
          <w:szCs w:val="28"/>
        </w:rPr>
        <w:t>, Венгеровского районов области.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Новосибирске обследовали геодезический пункт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на крыше Оперного театра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Архитектурной гордостью сибирской столицы, визитной карточкой города Новосибирска является Новосибирский государственный академический театр оперы и балета (НОВАТ). Его открытие состоялось сразу после окончания Великой Отечественной войны – 12 мая 1945 года.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Самым уникальным его элементом является купол, диаметр которого составляет 60 метров, высота 35 метров. А с 1947 года на крыше здания сложного архитектурного комплекса </w:t>
      </w:r>
      <w:proofErr w:type="spellStart"/>
      <w:r w:rsidRPr="00F40433">
        <w:rPr>
          <w:rFonts w:ascii="Segoe UI" w:hAnsi="Segoe UI" w:cs="Segoe UI"/>
          <w:sz w:val="28"/>
          <w:szCs w:val="28"/>
        </w:rPr>
        <w:t>НОВАТа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располагается пункт государственной геодезической сети «Центральный».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Геодезические пункты обеспечивают единство и точность измерений при геодезических и кадастровых работах и очень важно обеспечить их сохранность.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В 2022 году проводились ремонтные работы </w:t>
      </w:r>
      <w:proofErr w:type="spellStart"/>
      <w:r w:rsidRPr="00F40433">
        <w:rPr>
          <w:rFonts w:ascii="Segoe UI" w:hAnsi="Segoe UI" w:cs="Segoe UI"/>
          <w:sz w:val="28"/>
          <w:szCs w:val="28"/>
        </w:rPr>
        <w:t>чердачно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-кровельной системы и купола </w:t>
      </w:r>
      <w:proofErr w:type="spellStart"/>
      <w:r w:rsidRPr="00F40433">
        <w:rPr>
          <w:rFonts w:ascii="Segoe UI" w:hAnsi="Segoe UI" w:cs="Segoe UI"/>
          <w:sz w:val="28"/>
          <w:szCs w:val="28"/>
        </w:rPr>
        <w:t>НОВАТа</w:t>
      </w:r>
      <w:proofErr w:type="spellEnd"/>
      <w:r w:rsidRPr="00F40433">
        <w:rPr>
          <w:rFonts w:ascii="Segoe UI" w:hAnsi="Segoe UI" w:cs="Segoe UI"/>
          <w:sz w:val="28"/>
          <w:szCs w:val="28"/>
        </w:rPr>
        <w:t>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Специалисты Управления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побывали на крыше здания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НОВАТа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и провели обследование состояния геодезического пункта «Центральный». Обследование показало, что пункт полностью сохранен.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Всего новосибирским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обследовано 1567 геодезических пунктов, это 43% от общего числа таких пунктов в регионе.</w:t>
      </w:r>
    </w:p>
    <w:p w:rsidR="00AB79BE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Заместитель руководителя Управления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Наталья Зайцева: «Обследование, учет и установление охранных зон геодезических пунктов является одним из приоритетных направлений деятельности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в том числе для наполнения федеральной государственной информационной системы «Единая цифровая платформа «Национальная система </w:t>
      </w:r>
      <w:r w:rsidRPr="00F40433">
        <w:rPr>
          <w:rFonts w:ascii="Segoe UI" w:hAnsi="Segoe UI" w:cs="Segoe UI"/>
          <w:sz w:val="28"/>
          <w:szCs w:val="28"/>
        </w:rPr>
        <w:lastRenderedPageBreak/>
        <w:t>пространственных данных» сведениями о государственной геодезической сети».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семи муниципальных образованиях Новосибирской области завершено внесение границ территориальных зон в ЕГРН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Новосибирской области продолжается работа по наполнению Единого государственного реестра недвижимости (ЕГРН) границами территориальных зон.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По состоянию на 01.02.2023 в реестр внесено 2561 территориальная зона, что составляет 33% от общего их количества.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При этом некоторые муниципалитеты уже достигли 100% –                          г. Новосибирск, г. Бердск, г. Каргат, г. Куйбышев,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</w:t>
      </w:r>
      <w:proofErr w:type="gramStart"/>
      <w:r w:rsidRPr="00F40433">
        <w:rPr>
          <w:rFonts w:ascii="Segoe UI" w:hAnsi="Segoe UI" w:cs="Segoe UI"/>
          <w:sz w:val="28"/>
          <w:szCs w:val="28"/>
        </w:rPr>
        <w:t xml:space="preserve">Линево,   </w:t>
      </w:r>
      <w:proofErr w:type="gramEnd"/>
      <w:r w:rsidRPr="00F40433">
        <w:rPr>
          <w:rFonts w:ascii="Segoe UI" w:hAnsi="Segoe UI" w:cs="Segoe UI"/>
          <w:sz w:val="28"/>
          <w:szCs w:val="28"/>
        </w:rPr>
        <w:t xml:space="preserve">                          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Краснозерское,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Мошково. Показатель свыше 80% в г. </w:t>
      </w:r>
      <w:proofErr w:type="gramStart"/>
      <w:r w:rsidRPr="00F40433">
        <w:rPr>
          <w:rFonts w:ascii="Segoe UI" w:hAnsi="Segoe UI" w:cs="Segoe UI"/>
          <w:sz w:val="28"/>
          <w:szCs w:val="28"/>
        </w:rPr>
        <w:t xml:space="preserve">Обь,   </w:t>
      </w:r>
      <w:proofErr w:type="gramEnd"/>
      <w:r w:rsidRPr="00F40433">
        <w:rPr>
          <w:rFonts w:ascii="Segoe UI" w:hAnsi="Segoe UI" w:cs="Segoe UI"/>
          <w:sz w:val="28"/>
          <w:szCs w:val="28"/>
        </w:rPr>
        <w:t xml:space="preserve">                   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Колывань,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Кольцово,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Чик, </w:t>
      </w:r>
      <w:proofErr w:type="spellStart"/>
      <w:r w:rsidRPr="00F40433">
        <w:rPr>
          <w:rFonts w:ascii="Segoe UI" w:hAnsi="Segoe UI" w:cs="Segoe UI"/>
          <w:sz w:val="28"/>
          <w:szCs w:val="28"/>
        </w:rPr>
        <w:t>р.п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. Ордынское, </w:t>
      </w:r>
      <w:proofErr w:type="spellStart"/>
      <w:r w:rsidRPr="00F40433">
        <w:rPr>
          <w:rFonts w:ascii="Segoe UI" w:hAnsi="Segoe UI" w:cs="Segoe UI"/>
          <w:sz w:val="28"/>
          <w:szCs w:val="28"/>
        </w:rPr>
        <w:t>Искитимском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Кочковском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Новосибирском районах. Более 50 % территориальных зон внесено в ЕГРН в </w:t>
      </w:r>
      <w:proofErr w:type="spellStart"/>
      <w:r w:rsidRPr="00F40433">
        <w:rPr>
          <w:rFonts w:ascii="Segoe UI" w:hAnsi="Segoe UI" w:cs="Segoe UI"/>
          <w:sz w:val="28"/>
          <w:szCs w:val="28"/>
        </w:rPr>
        <w:t>Мошковском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и </w:t>
      </w:r>
      <w:proofErr w:type="spellStart"/>
      <w:r w:rsidRPr="00F40433">
        <w:rPr>
          <w:rFonts w:ascii="Segoe UI" w:hAnsi="Segoe UI" w:cs="Segoe UI"/>
          <w:sz w:val="28"/>
          <w:szCs w:val="28"/>
        </w:rPr>
        <w:t>Тогучинском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районах. Но в </w:t>
      </w:r>
      <w:proofErr w:type="spellStart"/>
      <w:r w:rsidRPr="00F40433">
        <w:rPr>
          <w:rFonts w:ascii="Segoe UI" w:hAnsi="Segoe UI" w:cs="Segoe UI"/>
          <w:sz w:val="28"/>
          <w:szCs w:val="28"/>
        </w:rPr>
        <w:t>Кыштовском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Северном, </w:t>
      </w:r>
      <w:proofErr w:type="spellStart"/>
      <w:r w:rsidRPr="00F40433">
        <w:rPr>
          <w:rFonts w:ascii="Segoe UI" w:hAnsi="Segoe UI" w:cs="Segoe UI"/>
          <w:sz w:val="28"/>
          <w:szCs w:val="28"/>
        </w:rPr>
        <w:t>Сузунском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Татарском, Убинском, </w:t>
      </w:r>
      <w:proofErr w:type="spellStart"/>
      <w:r w:rsidRPr="00F40433">
        <w:rPr>
          <w:rFonts w:ascii="Segoe UI" w:hAnsi="Segoe UI" w:cs="Segoe UI"/>
          <w:sz w:val="28"/>
          <w:szCs w:val="28"/>
        </w:rPr>
        <w:t>Усть-Таркском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F40433">
        <w:rPr>
          <w:rFonts w:ascii="Segoe UI" w:hAnsi="Segoe UI" w:cs="Segoe UI"/>
          <w:sz w:val="28"/>
          <w:szCs w:val="28"/>
        </w:rPr>
        <w:t>Чановском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Чистоозерном районах такие сведения отсутствуют в ЕГРН.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«Наполнение ЕГРН сведениями о территориальных зонах в полном объеме позволит сформировать качественный и полный реестр, что является важной задачей в рамках реализации государственной программы «Национальная система пространственных данных», - отмечает заместитель руководителя новосибирского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Наталья Зайцева.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ab/>
        <w:t>Напомним, что Новосибирская область стала пилотным регионом в реализации мероприятий федерального проекта «Национальная система пространственных данных».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Вопросы реализации проекта "Земля для туризма" обсудили в Новосибирске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В Управлении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прошло первое заседание оперативного штаба по выявлению и анализу земельных участков, способствующих развитию туризма в регионе.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Участники – руководство новосибирского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представители Правительства региона и мэрии города Новосибирска </w:t>
      </w:r>
      <w:r w:rsidRPr="00F40433">
        <w:rPr>
          <w:rFonts w:ascii="Segoe UI" w:hAnsi="Segoe UI" w:cs="Segoe UI"/>
          <w:sz w:val="28"/>
          <w:szCs w:val="28"/>
        </w:rPr>
        <w:lastRenderedPageBreak/>
        <w:t>обсудили вопросы сбора данных об объектах туристического интереса и земельных участках, которые возможно вовлечь для развития туризма в регионе.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В декабре 2022 года подписано Соглашение о взаимодействии между Правительством Новосибирской области и Федеральной службой государственной регистрации, кадастра и картографии, цель которого - организовать информационное взаимодействие для создания условий активного использования туристского потенциала Новосибирской области.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По словам Натальи </w:t>
      </w:r>
      <w:proofErr w:type="spellStart"/>
      <w:r w:rsidRPr="00F40433">
        <w:rPr>
          <w:rFonts w:ascii="Segoe UI" w:hAnsi="Segoe UI" w:cs="Segoe UI"/>
          <w:sz w:val="28"/>
          <w:szCs w:val="28"/>
        </w:rPr>
        <w:t>Ивчатовой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заместителя руководителя Управления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области, в 2023 году оперативному штабу предстоит масштабная работа. Надеемся, что Новосибирская область станет безусловным лидером в развитии проекта «Земля для туризма».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 «Проект «Земля для туризма» полностью соответствует целям и задачам, которые мы ставим перед собой в работе с инвесторами в рамках туристических кластеров. Подготовка базы данных об инвестиционных лотах станет хорошим поводом для ревизии имеющихся земель, усилит межведомственную синхронизацию, станет удобным ресурсом для инвесторов и поможет им в принятии решений о строительстве туристических объектов», - отметила заместитель министра экономического развития Новосибирской области Анна Павлова.</w:t>
      </w:r>
    </w:p>
    <w:p w:rsid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Подходящие для размещения туристических объектов земельные участки будут отображены на публичной кадастровой карте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для реализации возможности доступа к информации об указанных земельных участках и территориях неограниченного круга лиц, в том числе потенциальных инвесторов.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Государственная пошлина за лицензирование геодезической и картографической деятельности отменена до конца 2023 года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Управление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информирует, что 26 января 2023 года вступили в силу изменения в постановление Правительства Российской Федерации от 12 марта 2022 г. № 353 «Об особенностях разрешительной деятельности в Российской Федерации в 2022 и 2023 годах».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lastRenderedPageBreak/>
        <w:t>До 31 декабря 2023 года отменена оплата государственной пошлины за предоставление лицензий на осуществление геодезической и картографической деятельности, внесение изменений в реестр лицензий по заявлениям, поданным с 26 января 2023 года.</w:t>
      </w:r>
    </w:p>
    <w:p w:rsid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ab/>
        <w:t>При уплате соискателем лицензии, лицензиатом государственной пошлины за предоставление лицензии, внесение изменений в реестр лицензий по заявлениям, поданным с 26 января 2023 г. до 31 декабря 2023 г., такая государственная пошлина подлежит возврату в порядке, установленном статьей 333.40 Налогового кодекса Российской Федерации.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Для чего нужны пункты высокоточной геодезической сети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Новосибирский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продолжает серию публикаций о пунктах государственных геодезических сетей.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Ранее мы рассказывали о фундаментальной астрономо-геодезической сети (ФАГС), которая является главной геодезической основой для формирования всей государственной геодезической сети.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Второй уровень в структуре геодезических сетей занимает высокоточная геодезическая сеть (ВГС). Она предназначена для распространения на территории Российской Федерации государственной системы координат и является основой для создания спутниковой геодезической сети 1 класса.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На пунктах ВГС выполняются определения высот и значений ускорения силы тяжести.</w:t>
      </w:r>
    </w:p>
    <w:p w:rsid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На территории Новосибирской области расположено 14 пунктов высокоточной геодезической сети. Управлением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для всех этих пунктов установлены охранные зоны (100%), сведения о границах охранных зон внесены в Единый государственный реестр недвижимости.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Об участии новосибирского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в реализации нацпроекта «Здравоохранение»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В Новосибирской области продолжается реализация программы строительства фельдшерско-акушерских пунктов (ФАП) – полноценных медицинских комплексов, в которых получают первичную </w:t>
      </w:r>
      <w:r w:rsidRPr="00F40433">
        <w:rPr>
          <w:rFonts w:ascii="Segoe UI" w:hAnsi="Segoe UI" w:cs="Segoe UI"/>
          <w:sz w:val="28"/>
          <w:szCs w:val="28"/>
        </w:rPr>
        <w:lastRenderedPageBreak/>
        <w:t xml:space="preserve">медицинскую помощь жители отдаленных населенных пунктов. Все </w:t>
      </w:r>
      <w:proofErr w:type="spellStart"/>
      <w:r w:rsidRPr="00F40433">
        <w:rPr>
          <w:rFonts w:ascii="Segoe UI" w:hAnsi="Segoe UI" w:cs="Segoe UI"/>
          <w:sz w:val="28"/>
          <w:szCs w:val="28"/>
        </w:rPr>
        <w:t>ФАПы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строятся по нацпроекту «Здравоохранение».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Учитывая социальную значимость таких объектов, их строительство - на контроле у региональных властей, оперативное внесение сведений о зданиях </w:t>
      </w:r>
      <w:proofErr w:type="spellStart"/>
      <w:r w:rsidRPr="00F40433">
        <w:rPr>
          <w:rFonts w:ascii="Segoe UI" w:hAnsi="Segoe UI" w:cs="Segoe UI"/>
          <w:sz w:val="28"/>
          <w:szCs w:val="28"/>
        </w:rPr>
        <w:t>ФАПов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в Единый государственный реестр недвижимости (ЕГРН) – на особом контроле Управления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«В 2022 году новосибирским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внесены сведения в ЕГРН о 20 зданиях </w:t>
      </w:r>
      <w:proofErr w:type="spellStart"/>
      <w:r w:rsidRPr="00F40433">
        <w:rPr>
          <w:rFonts w:ascii="Segoe UI" w:hAnsi="Segoe UI" w:cs="Segoe UI"/>
          <w:sz w:val="28"/>
          <w:szCs w:val="28"/>
        </w:rPr>
        <w:t>ФАПов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построенных в 15 районах Новосибирской области, </w:t>
      </w:r>
      <w:proofErr w:type="gramStart"/>
      <w:r w:rsidRPr="00F40433">
        <w:rPr>
          <w:rFonts w:ascii="Segoe UI" w:hAnsi="Segoe UI" w:cs="Segoe UI"/>
          <w:sz w:val="28"/>
          <w:szCs w:val="28"/>
        </w:rPr>
        <w:t>3  здания</w:t>
      </w:r>
      <w:proofErr w:type="gramEnd"/>
      <w:r w:rsidRPr="00F40433">
        <w:rPr>
          <w:rFonts w:ascii="Segoe UI" w:hAnsi="Segoe UI" w:cs="Segoe UI"/>
          <w:sz w:val="28"/>
          <w:szCs w:val="28"/>
        </w:rPr>
        <w:t xml:space="preserve"> внесены в реестр недвижимости уже в этом году, - сообщила руководитель регионального Управления Светлана </w:t>
      </w:r>
      <w:proofErr w:type="spellStart"/>
      <w:r w:rsidRPr="00F40433">
        <w:rPr>
          <w:rFonts w:ascii="Segoe UI" w:hAnsi="Segoe UI" w:cs="Segoe UI"/>
          <w:sz w:val="28"/>
          <w:szCs w:val="28"/>
        </w:rPr>
        <w:t>Рягузова</w:t>
      </w:r>
      <w:proofErr w:type="spellEnd"/>
      <w:r w:rsidRPr="00F40433">
        <w:rPr>
          <w:rFonts w:ascii="Segoe UI" w:hAnsi="Segoe UI" w:cs="Segoe UI"/>
          <w:sz w:val="28"/>
          <w:szCs w:val="28"/>
        </w:rPr>
        <w:t>. – Как правило, сроки принятия решений по таким объектам не превышают одного дня, фактически нередко занимают всего несколько часов. При наличии причин, препятствующих регистрации, организуется оперативное взаимодействие с муниципальными органами власти для устранения выявленных замечаний».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По словам первого заместителя министра строительства Новосибирской области Дмитрия Тимонова, в этом году в планах региона строительство 33 </w:t>
      </w:r>
      <w:proofErr w:type="spellStart"/>
      <w:r w:rsidRPr="00F40433">
        <w:rPr>
          <w:rFonts w:ascii="Segoe UI" w:hAnsi="Segoe UI" w:cs="Segoe UI"/>
          <w:sz w:val="28"/>
          <w:szCs w:val="28"/>
        </w:rPr>
        <w:t>ФАПов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, из которых на восьми продолжаются работы, начатые еще в 2022 году, остальные – новые объекты 2023 года, по которым проводятся конкурсные процедуры по выбору подрядной организации. Кроме того, в этом году еще по 23 </w:t>
      </w:r>
      <w:proofErr w:type="spellStart"/>
      <w:r w:rsidRPr="00F40433">
        <w:rPr>
          <w:rFonts w:ascii="Segoe UI" w:hAnsi="Segoe UI" w:cs="Segoe UI"/>
          <w:sz w:val="28"/>
          <w:szCs w:val="28"/>
        </w:rPr>
        <w:t>ФАПам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будут выполнены проектно-изыскательские работы, их строительство запланировано на 2024 год.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Фельдшерско-акушерские пункты возводятся благодаря национальному проекту «Здравоохранение». Это типовые, модульные здания, часть из которых – с жильем для медиков. В экстренных случаях пациентов в новых медицинских учреждениях будут принимать круглосуточно. Во всех зданиях созданы условия для посещения маломобильных жителей.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>Около 10 социальных объектов зарегистрировано в Новосибирской области в 2022 году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Материал подготовлен Управлением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lastRenderedPageBreak/>
        <w:t>по Новосибирской области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ab/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Об Управлении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40433">
        <w:rPr>
          <w:rFonts w:ascii="Segoe UI" w:hAnsi="Segoe UI" w:cs="Segoe UI"/>
          <w:sz w:val="28"/>
          <w:szCs w:val="2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 w:rsidRPr="00F4043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40433">
        <w:rPr>
          <w:rFonts w:ascii="Segoe UI" w:hAnsi="Segoe UI" w:cs="Segoe UI"/>
          <w:sz w:val="28"/>
          <w:szCs w:val="28"/>
        </w:rPr>
        <w:t xml:space="preserve"> по Новосибирской области является Светлана Евгеньевна </w:t>
      </w:r>
      <w:proofErr w:type="spellStart"/>
      <w:r w:rsidRPr="00F40433">
        <w:rPr>
          <w:rFonts w:ascii="Segoe UI" w:hAnsi="Segoe UI" w:cs="Segoe UI"/>
          <w:sz w:val="28"/>
          <w:szCs w:val="28"/>
        </w:rPr>
        <w:t>Рягузова</w:t>
      </w:r>
      <w:proofErr w:type="spellEnd"/>
      <w:r w:rsidRPr="00F40433">
        <w:rPr>
          <w:rFonts w:ascii="Segoe UI" w:hAnsi="Segoe UI" w:cs="Segoe UI"/>
          <w:sz w:val="28"/>
          <w:szCs w:val="28"/>
        </w:rPr>
        <w:t>.</w:t>
      </w:r>
    </w:p>
    <w:p w:rsidR="00F40433" w:rsidRPr="00F40433" w:rsidRDefault="00F40433" w:rsidP="00F4043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AB79BE" w:rsidRPr="00AB79BE" w:rsidRDefault="00AB79BE" w:rsidP="00AB79BE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bookmarkStart w:id="0" w:name="_GoBack"/>
      <w:bookmarkEnd w:id="0"/>
    </w:p>
    <w:p w:rsidR="00AB79BE" w:rsidRPr="00AB79BE" w:rsidRDefault="00AB79BE" w:rsidP="00AB79BE">
      <w:pPr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AB79BE">
        <w:rPr>
          <w:rFonts w:ascii="Times New Roman" w:hAnsi="Times New Roman" w:cs="Times New Roman"/>
          <w:sz w:val="28"/>
          <w:szCs w:val="28"/>
        </w:rPr>
        <w:t xml:space="preserve">Редактор  </w:t>
      </w:r>
      <w:proofErr w:type="spellStart"/>
      <w:r w:rsidRPr="00AB79BE">
        <w:rPr>
          <w:rFonts w:ascii="Times New Roman" w:hAnsi="Times New Roman" w:cs="Times New Roman"/>
          <w:sz w:val="28"/>
          <w:szCs w:val="28"/>
        </w:rPr>
        <w:t>Н.В.Кулигина</w:t>
      </w:r>
      <w:proofErr w:type="spellEnd"/>
      <w:proofErr w:type="gramEnd"/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</w:t>
      </w:r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 xml:space="preserve">НАШ   </w:t>
      </w:r>
      <w:proofErr w:type="gramStart"/>
      <w:r w:rsidRPr="009E2296">
        <w:rPr>
          <w:rFonts w:ascii="Times New Roman" w:eastAsia="Times New Roman" w:hAnsi="Times New Roman" w:cs="Times New Roman"/>
          <w:lang w:eastAsia="ru-RU"/>
        </w:rPr>
        <w:t>АДРЕС  И</w:t>
      </w:r>
      <w:proofErr w:type="gramEnd"/>
      <w:r w:rsidRPr="009E2296">
        <w:rPr>
          <w:rFonts w:ascii="Times New Roman" w:eastAsia="Times New Roman" w:hAnsi="Times New Roman" w:cs="Times New Roman"/>
          <w:lang w:eastAsia="ru-RU"/>
        </w:rPr>
        <w:t xml:space="preserve">  ТЕЛЕФОНЫ</w:t>
      </w:r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>633292, НОВОСИБИРСКАЯ ОБЛАСТЬ</w:t>
      </w:r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9E2296">
        <w:rPr>
          <w:rFonts w:ascii="Times New Roman" w:eastAsia="Times New Roman" w:hAnsi="Times New Roman" w:cs="Times New Roman"/>
          <w:lang w:eastAsia="ru-RU"/>
        </w:rPr>
        <w:t>ОРДЫНСКИЙ  РАЙОН</w:t>
      </w:r>
      <w:proofErr w:type="gramEnd"/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 xml:space="preserve">СЕЛО </w:t>
      </w:r>
      <w:proofErr w:type="gramStart"/>
      <w:r w:rsidRPr="009E2296">
        <w:rPr>
          <w:rFonts w:ascii="Times New Roman" w:eastAsia="Times New Roman" w:hAnsi="Times New Roman" w:cs="Times New Roman"/>
          <w:lang w:eastAsia="ru-RU"/>
        </w:rPr>
        <w:t>ЧИНГИС  УЛИЦА</w:t>
      </w:r>
      <w:proofErr w:type="gramEnd"/>
      <w:r w:rsidRPr="009E2296">
        <w:rPr>
          <w:rFonts w:ascii="Times New Roman" w:eastAsia="Times New Roman" w:hAnsi="Times New Roman" w:cs="Times New Roman"/>
          <w:lang w:eastAsia="ru-RU"/>
        </w:rPr>
        <w:t xml:space="preserve"> СОВЕТСКАЯ № 27</w:t>
      </w:r>
    </w:p>
    <w:p w:rsidR="009E2296" w:rsidRPr="009E2296" w:rsidRDefault="009E2296" w:rsidP="009E229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>ТЕЛ\ФАКС (8- 38359) 48-619</w:t>
      </w:r>
    </w:p>
    <w:p w:rsidR="009E2296" w:rsidRPr="009E2296" w:rsidRDefault="009E2296" w:rsidP="009E22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E2296">
        <w:rPr>
          <w:rFonts w:ascii="Times New Roman" w:eastAsia="Times New Roman" w:hAnsi="Times New Roman" w:cs="Times New Roman"/>
          <w:lang w:eastAsia="ru-RU"/>
        </w:rPr>
        <w:t>РАСПРОСТРАНЯЕТСЯ    БЕСПЛАТНО</w:t>
      </w:r>
    </w:p>
    <w:p w:rsidR="009E2296" w:rsidRPr="009E2296" w:rsidRDefault="009E2296" w:rsidP="009E22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E2296" w:rsidRPr="009E2296" w:rsidRDefault="009E2296" w:rsidP="009E229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9E2296">
        <w:rPr>
          <w:rFonts w:ascii="Times New Roman" w:eastAsia="Times New Roman" w:hAnsi="Times New Roman" w:cs="Times New Roman"/>
          <w:lang w:eastAsia="ru-RU"/>
        </w:rPr>
        <w:t>Тираж  20</w:t>
      </w:r>
      <w:proofErr w:type="gramEnd"/>
      <w:r w:rsidRPr="009E2296">
        <w:rPr>
          <w:rFonts w:ascii="Times New Roman" w:eastAsia="Times New Roman" w:hAnsi="Times New Roman" w:cs="Times New Roman"/>
          <w:lang w:eastAsia="ru-RU"/>
        </w:rPr>
        <w:t xml:space="preserve">  экз.</w:t>
      </w:r>
    </w:p>
    <w:p w:rsidR="009E2296" w:rsidRPr="009E2296" w:rsidRDefault="009E2296" w:rsidP="009E2296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CC3E42" w:rsidRDefault="00CC3E42"/>
    <w:sectPr w:rsidR="00CC3E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03430A"/>
    <w:multiLevelType w:val="hybridMultilevel"/>
    <w:tmpl w:val="17F209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358"/>
    <w:rsid w:val="001B593A"/>
    <w:rsid w:val="001D2E4D"/>
    <w:rsid w:val="00347518"/>
    <w:rsid w:val="005534C9"/>
    <w:rsid w:val="00657358"/>
    <w:rsid w:val="007400BC"/>
    <w:rsid w:val="009E2296"/>
    <w:rsid w:val="009E294A"/>
    <w:rsid w:val="00AB79BE"/>
    <w:rsid w:val="00CC3E42"/>
    <w:rsid w:val="00D032FC"/>
    <w:rsid w:val="00E84ADC"/>
    <w:rsid w:val="00EA3E1A"/>
    <w:rsid w:val="00F40433"/>
    <w:rsid w:val="00F475D3"/>
    <w:rsid w:val="00F9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15F164-1B9C-4674-9520-A1423DF2F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229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9E2296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751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E229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western">
    <w:name w:val="western"/>
    <w:basedOn w:val="a"/>
    <w:rsid w:val="009E2296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styleId="a3">
    <w:name w:val="Hyperlink"/>
    <w:unhideWhenUsed/>
    <w:rsid w:val="009E229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E229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34751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4">
    <w:name w:val="Title"/>
    <w:basedOn w:val="a"/>
    <w:link w:val="a5"/>
    <w:qFormat/>
    <w:rsid w:val="0034751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Название Знак"/>
    <w:basedOn w:val="a0"/>
    <w:link w:val="a4"/>
    <w:rsid w:val="0034751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347518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1">
    <w:name w:val="Без интервала1"/>
    <w:rsid w:val="00347518"/>
    <w:pPr>
      <w:spacing w:after="0" w:line="240" w:lineRule="auto"/>
    </w:pPr>
    <w:rPr>
      <w:rFonts w:ascii="Calibri" w:eastAsia="Times New Roman" w:hAnsi="Calibri" w:cs="Times New Roman"/>
    </w:rPr>
  </w:style>
  <w:style w:type="table" w:styleId="a7">
    <w:name w:val="Table Grid"/>
    <w:basedOn w:val="a1"/>
    <w:uiPriority w:val="59"/>
    <w:rsid w:val="0034751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347518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3475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47518"/>
    <w:rPr>
      <w:rFonts w:ascii="Segoe UI" w:hAnsi="Segoe UI" w:cs="Segoe UI"/>
      <w:sz w:val="18"/>
      <w:szCs w:val="18"/>
    </w:rPr>
  </w:style>
  <w:style w:type="paragraph" w:styleId="ab">
    <w:name w:val="Body Text"/>
    <w:basedOn w:val="a"/>
    <w:link w:val="ac"/>
    <w:uiPriority w:val="99"/>
    <w:semiHidden/>
    <w:unhideWhenUsed/>
    <w:rsid w:val="00AB79BE"/>
    <w:pPr>
      <w:spacing w:after="120" w:line="276" w:lineRule="auto"/>
    </w:pPr>
  </w:style>
  <w:style w:type="character" w:customStyle="1" w:styleId="ac">
    <w:name w:val="Основной текст Знак"/>
    <w:basedOn w:val="a0"/>
    <w:link w:val="ab"/>
    <w:uiPriority w:val="99"/>
    <w:semiHidden/>
    <w:rsid w:val="00AB79BE"/>
  </w:style>
  <w:style w:type="paragraph" w:customStyle="1" w:styleId="Textbody">
    <w:name w:val="Text body"/>
    <w:basedOn w:val="a"/>
    <w:rsid w:val="00AB79BE"/>
    <w:pPr>
      <w:widowControl w:val="0"/>
      <w:suppressAutoHyphens/>
      <w:autoSpaceDN w:val="0"/>
      <w:spacing w:after="283" w:line="276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58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1835</Words>
  <Characters>10463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</dc:creator>
  <cp:keywords/>
  <dc:description/>
  <cp:lastModifiedBy>user</cp:lastModifiedBy>
  <cp:revision>3</cp:revision>
  <cp:lastPrinted>2023-02-22T05:15:00Z</cp:lastPrinted>
  <dcterms:created xsi:type="dcterms:W3CDTF">2021-02-17T09:03:00Z</dcterms:created>
  <dcterms:modified xsi:type="dcterms:W3CDTF">2023-02-22T05:21:00Z</dcterms:modified>
</cp:coreProperties>
</file>